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7D" w:rsidRDefault="00F13C7D" w:rsidP="00F13C7D">
      <w:pPr>
        <w:pStyle w:val="Heading5"/>
      </w:pPr>
      <w:r>
        <w:t>Appendix WPCP – Wisconsin Parental Choice Program</w:t>
      </w:r>
    </w:p>
    <w:p w:rsidR="00F13C7D" w:rsidRDefault="00F13C7D" w:rsidP="00F13C7D"/>
    <w:p w:rsidR="00CF2E61" w:rsidRDefault="001218DF" w:rsidP="00F13C7D">
      <w:pPr>
        <w:tabs>
          <w:tab w:val="center" w:pos="7020"/>
        </w:tabs>
        <w:spacing w:line="-254" w:lineRule="auto"/>
        <w:jc w:val="center"/>
        <w:rPr>
          <w:rFonts w:ascii="Arial" w:hAnsi="Arial"/>
          <w:b/>
          <w:sz w:val="24"/>
          <w:szCs w:val="24"/>
        </w:rPr>
      </w:pPr>
      <w:r>
        <w:rPr>
          <w:rFonts w:ascii="Arial" w:hAnsi="Arial"/>
          <w:b/>
          <w:sz w:val="24"/>
          <w:szCs w:val="24"/>
        </w:rPr>
        <w:t>Educational Expense Policy</w:t>
      </w:r>
    </w:p>
    <w:p w:rsidR="00F13C7D" w:rsidRDefault="00F13C7D" w:rsidP="00F13C7D">
      <w:pPr>
        <w:tabs>
          <w:tab w:val="center" w:pos="7020"/>
        </w:tabs>
        <w:spacing w:line="-254" w:lineRule="auto"/>
        <w:jc w:val="center"/>
        <w:rPr>
          <w:rFonts w:ascii="Arial" w:hAnsi="Arial"/>
          <w:b/>
          <w:sz w:val="24"/>
          <w:szCs w:val="24"/>
        </w:rPr>
      </w:pPr>
    </w:p>
    <w:p w:rsidR="00F13C7D" w:rsidRDefault="001218DF" w:rsidP="00F13C7D">
      <w:pPr>
        <w:tabs>
          <w:tab w:val="center" w:pos="7020"/>
        </w:tabs>
        <w:spacing w:line="-254" w:lineRule="auto"/>
        <w:rPr>
          <w:rFonts w:ascii="Arial" w:hAnsi="Arial"/>
        </w:rPr>
      </w:pPr>
      <w:r>
        <w:rPr>
          <w:rFonts w:ascii="Arial" w:hAnsi="Arial"/>
        </w:rPr>
        <w:t>Eligible education expenses are all direct and indirect costs that are associated with the school’s educational mission.  These expenses are reasonable and necessary for the school to achieve its educational purposes as set forth by the System’s governing body.  Eligible education expenses are for grades kindergarten through twelfth grades.</w:t>
      </w:r>
    </w:p>
    <w:p w:rsidR="00E56DA1" w:rsidRDefault="00E56DA1" w:rsidP="00F13C7D">
      <w:pPr>
        <w:tabs>
          <w:tab w:val="center" w:pos="7020"/>
        </w:tabs>
        <w:spacing w:line="-254" w:lineRule="auto"/>
        <w:rPr>
          <w:rFonts w:ascii="Arial" w:hAnsi="Arial"/>
        </w:rPr>
      </w:pPr>
    </w:p>
    <w:p w:rsidR="00E56DA1" w:rsidRDefault="001218DF" w:rsidP="00F13C7D">
      <w:pPr>
        <w:tabs>
          <w:tab w:val="center" w:pos="7020"/>
        </w:tabs>
        <w:spacing w:line="-254" w:lineRule="auto"/>
        <w:rPr>
          <w:rFonts w:ascii="Arial" w:hAnsi="Arial"/>
        </w:rPr>
      </w:pPr>
      <w:r>
        <w:rPr>
          <w:rFonts w:ascii="Arial" w:hAnsi="Arial"/>
        </w:rPr>
        <w:t xml:space="preserve">Examples of eligible education expenses include but are not limited to:  </w:t>
      </w:r>
    </w:p>
    <w:p w:rsidR="00E56DA1" w:rsidRPr="00E56DA1" w:rsidRDefault="00E56DA1" w:rsidP="00F13C7D">
      <w:pPr>
        <w:tabs>
          <w:tab w:val="center" w:pos="7020"/>
        </w:tabs>
        <w:spacing w:line="-254" w:lineRule="auto"/>
        <w:rPr>
          <w:rFonts w:ascii="Arial" w:hAnsi="Arial"/>
          <w:b/>
        </w:rPr>
      </w:pPr>
      <w:r w:rsidRPr="00E56DA1">
        <w:rPr>
          <w:rFonts w:ascii="Arial" w:hAnsi="Arial"/>
          <w:b/>
        </w:rPr>
        <w:t>W</w:t>
      </w:r>
      <w:r w:rsidR="001218DF" w:rsidRPr="00E56DA1">
        <w:rPr>
          <w:rFonts w:ascii="Arial" w:hAnsi="Arial"/>
          <w:b/>
        </w:rPr>
        <w:t>age</w:t>
      </w:r>
      <w:r>
        <w:rPr>
          <w:rFonts w:ascii="Arial" w:hAnsi="Arial"/>
          <w:b/>
        </w:rPr>
        <w:t>s and B</w:t>
      </w:r>
      <w:r w:rsidRPr="00E56DA1">
        <w:rPr>
          <w:rFonts w:ascii="Arial" w:hAnsi="Arial"/>
          <w:b/>
        </w:rPr>
        <w:t>enefits</w:t>
      </w:r>
    </w:p>
    <w:p w:rsidR="001218DF" w:rsidRDefault="00E56DA1" w:rsidP="00E56DA1">
      <w:pPr>
        <w:tabs>
          <w:tab w:val="center" w:pos="7020"/>
        </w:tabs>
        <w:spacing w:line="-254" w:lineRule="auto"/>
        <w:rPr>
          <w:rFonts w:ascii="Arial" w:hAnsi="Arial"/>
        </w:rPr>
      </w:pPr>
      <w:r w:rsidRPr="00E56DA1">
        <w:rPr>
          <w:rFonts w:ascii="Arial" w:hAnsi="Arial"/>
          <w:b/>
        </w:rPr>
        <w:t>Administrative:</w:t>
      </w:r>
      <w:r>
        <w:rPr>
          <w:rFonts w:ascii="Arial" w:hAnsi="Arial"/>
        </w:rPr>
        <w:t xml:space="preserve">  management; advertising; marketing; professional; public relations; foreign exchange   program (except room &amp; board)</w:t>
      </w:r>
    </w:p>
    <w:p w:rsidR="00E56DA1" w:rsidRDefault="00E56DA1" w:rsidP="00E56DA1">
      <w:pPr>
        <w:tabs>
          <w:tab w:val="center" w:pos="7020"/>
        </w:tabs>
        <w:spacing w:line="-254" w:lineRule="auto"/>
        <w:rPr>
          <w:rFonts w:ascii="Arial" w:hAnsi="Arial"/>
          <w:b/>
        </w:rPr>
      </w:pPr>
      <w:r>
        <w:rPr>
          <w:rFonts w:ascii="Arial" w:hAnsi="Arial"/>
          <w:b/>
        </w:rPr>
        <w:t>Technology</w:t>
      </w:r>
    </w:p>
    <w:p w:rsidR="00E56DA1" w:rsidRDefault="00E56DA1" w:rsidP="00E56DA1">
      <w:pPr>
        <w:tabs>
          <w:tab w:val="center" w:pos="7020"/>
        </w:tabs>
        <w:spacing w:line="-254" w:lineRule="auto"/>
        <w:rPr>
          <w:rFonts w:ascii="Arial" w:hAnsi="Arial"/>
        </w:rPr>
      </w:pPr>
      <w:r>
        <w:rPr>
          <w:rFonts w:ascii="Arial" w:hAnsi="Arial"/>
          <w:b/>
        </w:rPr>
        <w:t>Instructional:</w:t>
      </w:r>
      <w:r>
        <w:rPr>
          <w:rFonts w:ascii="Arial" w:hAnsi="Arial"/>
        </w:rPr>
        <w:t xml:space="preserve">  textbooks; supplies; library</w:t>
      </w:r>
    </w:p>
    <w:p w:rsidR="00E56DA1" w:rsidRDefault="00E56DA1" w:rsidP="00E56DA1">
      <w:pPr>
        <w:tabs>
          <w:tab w:val="center" w:pos="7020"/>
        </w:tabs>
        <w:spacing w:line="-254" w:lineRule="auto"/>
        <w:rPr>
          <w:rFonts w:ascii="Arial" w:hAnsi="Arial"/>
          <w:b/>
        </w:rPr>
      </w:pPr>
      <w:r>
        <w:rPr>
          <w:rFonts w:ascii="Arial" w:hAnsi="Arial"/>
          <w:b/>
        </w:rPr>
        <w:t>Transportation</w:t>
      </w:r>
    </w:p>
    <w:p w:rsidR="00E56DA1" w:rsidRDefault="00E56DA1" w:rsidP="00E56DA1">
      <w:pPr>
        <w:tabs>
          <w:tab w:val="center" w:pos="7020"/>
        </w:tabs>
        <w:spacing w:line="-254" w:lineRule="auto"/>
        <w:rPr>
          <w:rFonts w:ascii="Arial" w:hAnsi="Arial"/>
          <w:b/>
        </w:rPr>
      </w:pPr>
      <w:r>
        <w:rPr>
          <w:rFonts w:ascii="Arial" w:hAnsi="Arial"/>
          <w:b/>
        </w:rPr>
        <w:t>Buildings and Grounds</w:t>
      </w:r>
    </w:p>
    <w:p w:rsidR="00E56DA1" w:rsidRDefault="00E56DA1" w:rsidP="00E56DA1">
      <w:pPr>
        <w:tabs>
          <w:tab w:val="center" w:pos="7020"/>
        </w:tabs>
        <w:spacing w:line="-254" w:lineRule="auto"/>
        <w:rPr>
          <w:rFonts w:ascii="Arial" w:hAnsi="Arial"/>
          <w:b/>
        </w:rPr>
      </w:pPr>
      <w:r>
        <w:rPr>
          <w:rFonts w:ascii="Arial" w:hAnsi="Arial"/>
          <w:b/>
        </w:rPr>
        <w:t>Food Service</w:t>
      </w:r>
    </w:p>
    <w:p w:rsidR="00E56DA1" w:rsidRDefault="00E56DA1" w:rsidP="00E56DA1">
      <w:pPr>
        <w:tabs>
          <w:tab w:val="center" w:pos="7020"/>
        </w:tabs>
        <w:spacing w:line="-254" w:lineRule="auto"/>
        <w:rPr>
          <w:rFonts w:ascii="Arial" w:hAnsi="Arial"/>
          <w:b/>
        </w:rPr>
      </w:pPr>
      <w:r>
        <w:rPr>
          <w:rFonts w:ascii="Arial" w:hAnsi="Arial"/>
          <w:b/>
        </w:rPr>
        <w:t>Extracurricular</w:t>
      </w:r>
    </w:p>
    <w:p w:rsidR="00E56DA1" w:rsidRDefault="00E56DA1" w:rsidP="00E56DA1">
      <w:pPr>
        <w:tabs>
          <w:tab w:val="center" w:pos="7020"/>
        </w:tabs>
        <w:spacing w:line="-254" w:lineRule="auto"/>
        <w:rPr>
          <w:rFonts w:ascii="Arial" w:hAnsi="Arial"/>
        </w:rPr>
      </w:pPr>
      <w:r>
        <w:rPr>
          <w:rFonts w:ascii="Arial" w:hAnsi="Arial"/>
          <w:b/>
        </w:rPr>
        <w:t>Before and After Care</w:t>
      </w:r>
      <w:r>
        <w:rPr>
          <w:rFonts w:ascii="Arial" w:hAnsi="Arial"/>
        </w:rPr>
        <w:t xml:space="preserve"> (for kindergarten through 12 pupils enrolled in educational programming at the school)</w:t>
      </w:r>
    </w:p>
    <w:p w:rsidR="00E56DA1" w:rsidRDefault="00E56DA1" w:rsidP="00E56DA1">
      <w:pPr>
        <w:tabs>
          <w:tab w:val="center" w:pos="7020"/>
        </w:tabs>
        <w:spacing w:line="-254" w:lineRule="auto"/>
        <w:rPr>
          <w:rFonts w:ascii="Arial" w:hAnsi="Arial"/>
          <w:b/>
        </w:rPr>
      </w:pPr>
      <w:r>
        <w:rPr>
          <w:rFonts w:ascii="Arial" w:hAnsi="Arial"/>
          <w:b/>
        </w:rPr>
        <w:t>Development</w:t>
      </w:r>
    </w:p>
    <w:p w:rsidR="00E56DA1" w:rsidRDefault="00E56DA1" w:rsidP="00E56DA1">
      <w:pPr>
        <w:tabs>
          <w:tab w:val="center" w:pos="7020"/>
        </w:tabs>
        <w:spacing w:line="-254" w:lineRule="auto"/>
        <w:rPr>
          <w:rFonts w:ascii="Arial" w:hAnsi="Arial"/>
        </w:rPr>
      </w:pPr>
      <w:r>
        <w:rPr>
          <w:rFonts w:ascii="Arial" w:hAnsi="Arial"/>
          <w:b/>
        </w:rPr>
        <w:t>Fundraising</w:t>
      </w:r>
      <w:r>
        <w:rPr>
          <w:rFonts w:ascii="Arial" w:hAnsi="Arial"/>
        </w:rPr>
        <w:t xml:space="preserve"> (to the extent of administrative expenses)</w:t>
      </w:r>
    </w:p>
    <w:p w:rsidR="00E56DA1" w:rsidRDefault="00E56DA1" w:rsidP="00E56DA1">
      <w:pPr>
        <w:tabs>
          <w:tab w:val="center" w:pos="7020"/>
        </w:tabs>
        <w:spacing w:line="-254" w:lineRule="auto"/>
        <w:rPr>
          <w:rFonts w:ascii="Arial" w:hAnsi="Arial"/>
        </w:rPr>
      </w:pPr>
    </w:p>
    <w:p w:rsidR="00E56DA1" w:rsidRDefault="00E56DA1" w:rsidP="00E56DA1">
      <w:pPr>
        <w:tabs>
          <w:tab w:val="center" w:pos="7020"/>
        </w:tabs>
        <w:spacing w:line="-254" w:lineRule="auto"/>
        <w:rPr>
          <w:rFonts w:ascii="Arial" w:hAnsi="Arial"/>
        </w:rPr>
      </w:pPr>
      <w:r>
        <w:rPr>
          <w:rFonts w:ascii="Arial" w:hAnsi="Arial"/>
        </w:rPr>
        <w:t>If a cost or revenue is partially related to educational programming and partially related to non-educational programming the following cost/revenue allocation methods will be used:</w:t>
      </w:r>
    </w:p>
    <w:p w:rsidR="00E56DA1" w:rsidRDefault="00E56DA1" w:rsidP="00E56DA1">
      <w:pPr>
        <w:pStyle w:val="ListParagraph"/>
        <w:numPr>
          <w:ilvl w:val="0"/>
          <w:numId w:val="1"/>
        </w:numPr>
        <w:tabs>
          <w:tab w:val="center" w:pos="7020"/>
        </w:tabs>
        <w:spacing w:line="-254" w:lineRule="auto"/>
        <w:rPr>
          <w:rFonts w:ascii="Arial" w:hAnsi="Arial"/>
        </w:rPr>
      </w:pPr>
      <w:r>
        <w:rPr>
          <w:rFonts w:ascii="Arial" w:hAnsi="Arial"/>
        </w:rPr>
        <w:t>Instruction and student support costs allocated based on either pupil full-time equivalency (FTE) or time spent.</w:t>
      </w:r>
    </w:p>
    <w:p w:rsidR="00E56DA1" w:rsidRDefault="00E56DA1" w:rsidP="00E56DA1">
      <w:pPr>
        <w:pStyle w:val="ListParagraph"/>
        <w:numPr>
          <w:ilvl w:val="0"/>
          <w:numId w:val="1"/>
        </w:numPr>
        <w:tabs>
          <w:tab w:val="center" w:pos="7020"/>
        </w:tabs>
        <w:spacing w:line="-254" w:lineRule="auto"/>
        <w:rPr>
          <w:rFonts w:ascii="Arial" w:hAnsi="Arial"/>
        </w:rPr>
      </w:pPr>
      <w:r>
        <w:rPr>
          <w:rFonts w:ascii="Arial" w:hAnsi="Arial"/>
        </w:rPr>
        <w:t>Administration costs allocated based on full-time equivalency (FTE)</w:t>
      </w:r>
      <w:proofErr w:type="gramStart"/>
      <w:r>
        <w:rPr>
          <w:rFonts w:ascii="Arial" w:hAnsi="Arial"/>
        </w:rPr>
        <w:t>,</w:t>
      </w:r>
      <w:proofErr w:type="gramEnd"/>
      <w:r>
        <w:rPr>
          <w:rFonts w:ascii="Arial" w:hAnsi="Arial"/>
        </w:rPr>
        <w:t xml:space="preserve"> time spent, or direct program expenditures.</w:t>
      </w:r>
    </w:p>
    <w:p w:rsidR="00E56DA1" w:rsidRDefault="00E56DA1" w:rsidP="00E56DA1">
      <w:pPr>
        <w:pStyle w:val="ListParagraph"/>
        <w:numPr>
          <w:ilvl w:val="0"/>
          <w:numId w:val="1"/>
        </w:numPr>
        <w:tabs>
          <w:tab w:val="center" w:pos="7020"/>
        </w:tabs>
        <w:spacing w:line="-254" w:lineRule="auto"/>
        <w:rPr>
          <w:rFonts w:ascii="Arial" w:hAnsi="Arial"/>
        </w:rPr>
      </w:pPr>
      <w:r>
        <w:rPr>
          <w:rFonts w:ascii="Arial" w:hAnsi="Arial"/>
        </w:rPr>
        <w:t>Central office costs allocated based on number of transactions or time spent.</w:t>
      </w:r>
    </w:p>
    <w:p w:rsidR="00E56DA1" w:rsidRPr="00E56DA1" w:rsidRDefault="00E56DA1" w:rsidP="00E56DA1">
      <w:pPr>
        <w:pStyle w:val="ListParagraph"/>
        <w:numPr>
          <w:ilvl w:val="0"/>
          <w:numId w:val="1"/>
        </w:numPr>
        <w:tabs>
          <w:tab w:val="center" w:pos="7020"/>
        </w:tabs>
        <w:spacing w:line="-254" w:lineRule="auto"/>
        <w:rPr>
          <w:rFonts w:ascii="Arial" w:hAnsi="Arial"/>
        </w:rPr>
      </w:pPr>
      <w:r>
        <w:rPr>
          <w:rFonts w:ascii="Arial" w:hAnsi="Arial"/>
        </w:rPr>
        <w:t>Facility operation and maintenance costs allocated based on floor space operated, space occupied over time, or labor hours.</w:t>
      </w:r>
    </w:p>
    <w:p w:rsidR="00F13C7D" w:rsidRDefault="00F13C7D" w:rsidP="00F13C7D">
      <w:pPr>
        <w:tabs>
          <w:tab w:val="center" w:pos="7020"/>
        </w:tabs>
        <w:spacing w:line="-254" w:lineRule="auto"/>
        <w:rPr>
          <w:rFonts w:ascii="Arial" w:hAnsi="Arial"/>
        </w:rPr>
      </w:pPr>
    </w:p>
    <w:p w:rsidR="00D875F0" w:rsidRPr="00D875F0" w:rsidRDefault="00D875F0" w:rsidP="00F13C7D">
      <w:pPr>
        <w:tabs>
          <w:tab w:val="center" w:pos="7020"/>
        </w:tabs>
        <w:spacing w:line="-254" w:lineRule="auto"/>
        <w:rPr>
          <w:rFonts w:ascii="Arial" w:hAnsi="Arial"/>
        </w:rPr>
      </w:pPr>
    </w:p>
    <w:p w:rsidR="00F13C7D" w:rsidRPr="00F13C7D" w:rsidRDefault="00F13C7D" w:rsidP="00F13C7D">
      <w:pPr>
        <w:tabs>
          <w:tab w:val="center" w:pos="7020"/>
        </w:tabs>
        <w:spacing w:line="-254" w:lineRule="auto"/>
        <w:rPr>
          <w:rFonts w:ascii="Arial" w:hAnsi="Arial"/>
        </w:rPr>
      </w:pPr>
      <w:r>
        <w:rPr>
          <w:rFonts w:ascii="Arial" w:hAnsi="Arial"/>
        </w:rPr>
        <w:tab/>
      </w:r>
    </w:p>
    <w:p w:rsidR="00F13C7D" w:rsidRDefault="005946A7" w:rsidP="00F13C7D">
      <w:pPr>
        <w:tabs>
          <w:tab w:val="center" w:pos="7020"/>
        </w:tabs>
        <w:spacing w:line="-254" w:lineRule="auto"/>
        <w:rPr>
          <w:rFonts w:ascii="Arial" w:hAnsi="Arial"/>
        </w:rPr>
      </w:pPr>
      <w:proofErr w:type="gramStart"/>
      <w:r>
        <w:rPr>
          <w:rFonts w:ascii="Arial" w:hAnsi="Arial"/>
        </w:rPr>
        <w:t>Approved for the 201</w:t>
      </w:r>
      <w:r w:rsidR="007D04D8">
        <w:rPr>
          <w:rFonts w:ascii="Arial" w:hAnsi="Arial"/>
        </w:rPr>
        <w:t>8</w:t>
      </w:r>
      <w:r>
        <w:rPr>
          <w:rFonts w:ascii="Arial" w:hAnsi="Arial"/>
        </w:rPr>
        <w:t>-1</w:t>
      </w:r>
      <w:r w:rsidR="007D04D8">
        <w:rPr>
          <w:rFonts w:ascii="Arial" w:hAnsi="Arial"/>
        </w:rPr>
        <w:t>8</w:t>
      </w:r>
      <w:bookmarkStart w:id="0" w:name="_GoBack"/>
      <w:bookmarkEnd w:id="0"/>
      <w:r>
        <w:rPr>
          <w:rFonts w:ascii="Arial" w:hAnsi="Arial"/>
        </w:rPr>
        <w:t xml:space="preserve"> school year.</w:t>
      </w:r>
      <w:proofErr w:type="gramEnd"/>
    </w:p>
    <w:p w:rsidR="005946A7" w:rsidRDefault="005946A7" w:rsidP="00F13C7D">
      <w:pPr>
        <w:tabs>
          <w:tab w:val="center" w:pos="7020"/>
        </w:tabs>
        <w:spacing w:line="-254" w:lineRule="auto"/>
        <w:rPr>
          <w:rFonts w:ascii="Arial" w:hAnsi="Arial"/>
        </w:rPr>
      </w:pPr>
    </w:p>
    <w:p w:rsidR="005946A7" w:rsidRDefault="005946A7" w:rsidP="00F13C7D">
      <w:pPr>
        <w:tabs>
          <w:tab w:val="center" w:pos="7020"/>
        </w:tabs>
        <w:spacing w:line="-254" w:lineRule="auto"/>
        <w:rPr>
          <w:rFonts w:ascii="Arial" w:hAnsi="Arial"/>
        </w:rPr>
      </w:pPr>
    </w:p>
    <w:p w:rsidR="005946A7" w:rsidRDefault="005946A7" w:rsidP="00F13C7D">
      <w:pPr>
        <w:tabs>
          <w:tab w:val="center" w:pos="7020"/>
        </w:tabs>
        <w:spacing w:line="-254" w:lineRule="auto"/>
        <w:rPr>
          <w:rFonts w:ascii="Arial" w:hAnsi="Arial"/>
        </w:rPr>
      </w:pPr>
    </w:p>
    <w:p w:rsidR="005946A7" w:rsidRDefault="005946A7" w:rsidP="00F13C7D">
      <w:pPr>
        <w:tabs>
          <w:tab w:val="center" w:pos="7020"/>
        </w:tabs>
        <w:spacing w:line="-254" w:lineRule="auto"/>
        <w:rPr>
          <w:rFonts w:ascii="Arial" w:hAnsi="Arial"/>
        </w:rPr>
      </w:pPr>
      <w:r>
        <w:rPr>
          <w:rFonts w:ascii="Arial" w:hAnsi="Arial"/>
        </w:rPr>
        <w:t>______________________________________</w:t>
      </w:r>
      <w:r w:rsidR="002764EB">
        <w:rPr>
          <w:rFonts w:ascii="Arial" w:hAnsi="Arial"/>
        </w:rPr>
        <w:tab/>
        <w:t>_______________</w:t>
      </w:r>
    </w:p>
    <w:p w:rsidR="005946A7" w:rsidRDefault="005946A7" w:rsidP="00F13C7D">
      <w:pPr>
        <w:tabs>
          <w:tab w:val="center" w:pos="7020"/>
        </w:tabs>
        <w:spacing w:line="-254" w:lineRule="auto"/>
        <w:rPr>
          <w:rFonts w:ascii="Arial" w:hAnsi="Arial"/>
        </w:rPr>
      </w:pPr>
      <w:r>
        <w:rPr>
          <w:rFonts w:ascii="Arial" w:hAnsi="Arial"/>
        </w:rPr>
        <w:t>President</w:t>
      </w:r>
      <w:r w:rsidR="00403CE9">
        <w:rPr>
          <w:rFonts w:ascii="Arial" w:hAnsi="Arial"/>
        </w:rPr>
        <w:t xml:space="preserve"> or Administrator</w:t>
      </w:r>
      <w:r w:rsidR="002764EB">
        <w:rPr>
          <w:rFonts w:ascii="Arial" w:hAnsi="Arial"/>
        </w:rPr>
        <w:tab/>
        <w:t>Date</w:t>
      </w:r>
    </w:p>
    <w:p w:rsidR="00F13C7D" w:rsidRPr="00F13C7D" w:rsidRDefault="00F13C7D" w:rsidP="00F13C7D">
      <w:pPr>
        <w:tabs>
          <w:tab w:val="center" w:pos="7020"/>
        </w:tabs>
        <w:spacing w:line="-254" w:lineRule="auto"/>
        <w:rPr>
          <w:rFonts w:ascii="Arial" w:hAnsi="Arial"/>
        </w:rPr>
      </w:pPr>
    </w:p>
    <w:p w:rsidR="004662F2" w:rsidRDefault="004662F2"/>
    <w:p w:rsidR="005946A7" w:rsidRDefault="005946A7"/>
    <w:p w:rsidR="005946A7" w:rsidRDefault="005946A7"/>
    <w:p w:rsidR="005946A7" w:rsidRDefault="005946A7"/>
    <w:p w:rsidR="005946A7" w:rsidRDefault="005946A7" w:rsidP="005946A7">
      <w:pPr>
        <w:tabs>
          <w:tab w:val="center" w:pos="7020"/>
        </w:tabs>
        <w:spacing w:line="-254" w:lineRule="auto"/>
        <w:rPr>
          <w:rFonts w:ascii="Arial" w:hAnsi="Arial"/>
        </w:rPr>
      </w:pPr>
      <w:r>
        <w:rPr>
          <w:rFonts w:ascii="Arial" w:hAnsi="Arial"/>
        </w:rPr>
        <w:t>______________________________________</w:t>
      </w:r>
      <w:r w:rsidR="002764EB">
        <w:rPr>
          <w:rFonts w:ascii="Arial" w:hAnsi="Arial"/>
        </w:rPr>
        <w:tab/>
        <w:t>_______________</w:t>
      </w:r>
    </w:p>
    <w:p w:rsidR="005946A7" w:rsidRDefault="005946A7" w:rsidP="005946A7">
      <w:pPr>
        <w:tabs>
          <w:tab w:val="center" w:pos="7020"/>
        </w:tabs>
        <w:spacing w:line="-254" w:lineRule="auto"/>
      </w:pPr>
      <w:r>
        <w:rPr>
          <w:rFonts w:ascii="Arial" w:hAnsi="Arial"/>
        </w:rPr>
        <w:t>Dean</w:t>
      </w:r>
      <w:r w:rsidR="00403CE9">
        <w:rPr>
          <w:rFonts w:ascii="Arial" w:hAnsi="Arial"/>
        </w:rPr>
        <w:t xml:space="preserve"> or Pastor</w:t>
      </w:r>
      <w:r w:rsidR="002764EB">
        <w:rPr>
          <w:rFonts w:ascii="Arial" w:hAnsi="Arial"/>
        </w:rPr>
        <w:tab/>
        <w:t>Date</w:t>
      </w:r>
    </w:p>
    <w:sectPr w:rsidR="005946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47" w:rsidRDefault="00EF0547" w:rsidP="00EF0547">
      <w:r>
        <w:separator/>
      </w:r>
    </w:p>
  </w:endnote>
  <w:endnote w:type="continuationSeparator" w:id="0">
    <w:p w:rsidR="00EF0547" w:rsidRDefault="00EF0547" w:rsidP="00EF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47" w:rsidRDefault="007D04D8">
    <w:pPr>
      <w:pStyle w:val="Footer"/>
    </w:pPr>
    <w:r>
      <w:t>July 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47" w:rsidRDefault="00EF0547" w:rsidP="00EF0547">
      <w:r>
        <w:separator/>
      </w:r>
    </w:p>
  </w:footnote>
  <w:footnote w:type="continuationSeparator" w:id="0">
    <w:p w:rsidR="00EF0547" w:rsidRDefault="00EF0547" w:rsidP="00EF0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A3970"/>
    <w:multiLevelType w:val="hybridMultilevel"/>
    <w:tmpl w:val="7AF6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7D"/>
    <w:rsid w:val="001218DF"/>
    <w:rsid w:val="001E51A9"/>
    <w:rsid w:val="002764EB"/>
    <w:rsid w:val="00403CE9"/>
    <w:rsid w:val="004662F2"/>
    <w:rsid w:val="005946A7"/>
    <w:rsid w:val="007D04D8"/>
    <w:rsid w:val="00CF2E61"/>
    <w:rsid w:val="00D664DF"/>
    <w:rsid w:val="00D875F0"/>
    <w:rsid w:val="00E56DA1"/>
    <w:rsid w:val="00EF0547"/>
    <w:rsid w:val="00F13C7D"/>
    <w:rsid w:val="00FD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7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F13C7D"/>
    <w:pPr>
      <w:pBdr>
        <w:bottom w:val="single" w:sz="4" w:space="1" w:color="auto"/>
      </w:pBdr>
      <w:spacing w:before="240" w:after="60"/>
      <w:outlineLvl w:val="4"/>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3C7D"/>
    <w:rPr>
      <w:rFonts w:ascii="Times New Roman" w:eastAsia="Times New Roman" w:hAnsi="Times New Roman" w:cs="Times New Roman"/>
      <w:b/>
      <w:i/>
      <w:sz w:val="32"/>
      <w:szCs w:val="20"/>
    </w:rPr>
  </w:style>
  <w:style w:type="paragraph" w:styleId="ListParagraph">
    <w:name w:val="List Paragraph"/>
    <w:basedOn w:val="Normal"/>
    <w:uiPriority w:val="34"/>
    <w:qFormat/>
    <w:rsid w:val="00E56DA1"/>
    <w:pPr>
      <w:ind w:left="720"/>
      <w:contextualSpacing/>
    </w:pPr>
  </w:style>
  <w:style w:type="paragraph" w:styleId="Header">
    <w:name w:val="header"/>
    <w:basedOn w:val="Normal"/>
    <w:link w:val="HeaderChar"/>
    <w:uiPriority w:val="99"/>
    <w:unhideWhenUsed/>
    <w:rsid w:val="00EF0547"/>
    <w:pPr>
      <w:tabs>
        <w:tab w:val="center" w:pos="4680"/>
        <w:tab w:val="right" w:pos="9360"/>
      </w:tabs>
    </w:pPr>
  </w:style>
  <w:style w:type="character" w:customStyle="1" w:styleId="HeaderChar">
    <w:name w:val="Header Char"/>
    <w:basedOn w:val="DefaultParagraphFont"/>
    <w:link w:val="Header"/>
    <w:uiPriority w:val="99"/>
    <w:rsid w:val="00EF05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0547"/>
    <w:pPr>
      <w:tabs>
        <w:tab w:val="center" w:pos="4680"/>
        <w:tab w:val="right" w:pos="9360"/>
      </w:tabs>
    </w:pPr>
  </w:style>
  <w:style w:type="character" w:customStyle="1" w:styleId="FooterChar">
    <w:name w:val="Footer Char"/>
    <w:basedOn w:val="DefaultParagraphFont"/>
    <w:link w:val="Footer"/>
    <w:uiPriority w:val="99"/>
    <w:rsid w:val="00EF054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7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F13C7D"/>
    <w:pPr>
      <w:pBdr>
        <w:bottom w:val="single" w:sz="4" w:space="1" w:color="auto"/>
      </w:pBdr>
      <w:spacing w:before="240" w:after="60"/>
      <w:outlineLvl w:val="4"/>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3C7D"/>
    <w:rPr>
      <w:rFonts w:ascii="Times New Roman" w:eastAsia="Times New Roman" w:hAnsi="Times New Roman" w:cs="Times New Roman"/>
      <w:b/>
      <w:i/>
      <w:sz w:val="32"/>
      <w:szCs w:val="20"/>
    </w:rPr>
  </w:style>
  <w:style w:type="paragraph" w:styleId="ListParagraph">
    <w:name w:val="List Paragraph"/>
    <w:basedOn w:val="Normal"/>
    <w:uiPriority w:val="34"/>
    <w:qFormat/>
    <w:rsid w:val="00E56DA1"/>
    <w:pPr>
      <w:ind w:left="720"/>
      <w:contextualSpacing/>
    </w:pPr>
  </w:style>
  <w:style w:type="paragraph" w:styleId="Header">
    <w:name w:val="header"/>
    <w:basedOn w:val="Normal"/>
    <w:link w:val="HeaderChar"/>
    <w:uiPriority w:val="99"/>
    <w:unhideWhenUsed/>
    <w:rsid w:val="00EF0547"/>
    <w:pPr>
      <w:tabs>
        <w:tab w:val="center" w:pos="4680"/>
        <w:tab w:val="right" w:pos="9360"/>
      </w:tabs>
    </w:pPr>
  </w:style>
  <w:style w:type="character" w:customStyle="1" w:styleId="HeaderChar">
    <w:name w:val="Header Char"/>
    <w:basedOn w:val="DefaultParagraphFont"/>
    <w:link w:val="Header"/>
    <w:uiPriority w:val="99"/>
    <w:rsid w:val="00EF05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0547"/>
    <w:pPr>
      <w:tabs>
        <w:tab w:val="center" w:pos="4680"/>
        <w:tab w:val="right" w:pos="9360"/>
      </w:tabs>
    </w:pPr>
  </w:style>
  <w:style w:type="character" w:customStyle="1" w:styleId="FooterChar">
    <w:name w:val="Footer Char"/>
    <w:basedOn w:val="DefaultParagraphFont"/>
    <w:link w:val="Footer"/>
    <w:uiPriority w:val="99"/>
    <w:rsid w:val="00EF05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Huston</dc:creator>
  <cp:lastModifiedBy>Kimberly Huston</cp:lastModifiedBy>
  <cp:revision>2</cp:revision>
  <dcterms:created xsi:type="dcterms:W3CDTF">2018-07-09T16:29:00Z</dcterms:created>
  <dcterms:modified xsi:type="dcterms:W3CDTF">2018-07-09T16:29:00Z</dcterms:modified>
</cp:coreProperties>
</file>