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D" w:rsidRDefault="00F13C7D" w:rsidP="00F13C7D">
      <w:pPr>
        <w:pStyle w:val="Heading5"/>
      </w:pPr>
      <w:bookmarkStart w:id="0" w:name="_GoBack"/>
      <w:bookmarkEnd w:id="0"/>
      <w:r>
        <w:t>Appendix WPCP – Wisconsin Parental Choice Program</w:t>
      </w:r>
    </w:p>
    <w:p w:rsidR="00F13C7D" w:rsidRDefault="00F13C7D" w:rsidP="00F13C7D"/>
    <w:p w:rsidR="00F13C7D" w:rsidRDefault="00F13C7D" w:rsidP="00F13C7D">
      <w:pPr>
        <w:tabs>
          <w:tab w:val="center" w:pos="7020"/>
        </w:tabs>
        <w:spacing w:line="-254" w:lineRule="auto"/>
        <w:jc w:val="center"/>
        <w:rPr>
          <w:rFonts w:ascii="Arial" w:hAnsi="Arial"/>
          <w:b/>
          <w:sz w:val="24"/>
          <w:szCs w:val="24"/>
        </w:rPr>
      </w:pPr>
      <w:r w:rsidRPr="00F13C7D">
        <w:rPr>
          <w:rFonts w:ascii="Arial" w:hAnsi="Arial"/>
          <w:b/>
          <w:sz w:val="24"/>
          <w:szCs w:val="24"/>
        </w:rPr>
        <w:t>Capitalization Policy</w:t>
      </w:r>
    </w:p>
    <w:p w:rsidR="00CF2E61" w:rsidRDefault="00CF2E61" w:rsidP="00F13C7D">
      <w:pPr>
        <w:tabs>
          <w:tab w:val="center" w:pos="7020"/>
        </w:tabs>
        <w:spacing w:line="-254" w:lineRule="auto"/>
        <w:jc w:val="center"/>
        <w:rPr>
          <w:rFonts w:ascii="Arial" w:hAnsi="Arial"/>
          <w:b/>
          <w:sz w:val="24"/>
          <w:szCs w:val="24"/>
        </w:rPr>
      </w:pPr>
      <w:r>
        <w:rPr>
          <w:rFonts w:ascii="Arial" w:hAnsi="Arial"/>
          <w:b/>
          <w:sz w:val="24"/>
          <w:szCs w:val="24"/>
        </w:rPr>
        <w:t>Useful Life</w:t>
      </w:r>
    </w:p>
    <w:p w:rsidR="00F13C7D" w:rsidRDefault="00F13C7D" w:rsidP="00F13C7D">
      <w:pPr>
        <w:tabs>
          <w:tab w:val="center" w:pos="7020"/>
        </w:tabs>
        <w:spacing w:line="-254" w:lineRule="auto"/>
        <w:jc w:val="center"/>
        <w:rPr>
          <w:rFonts w:ascii="Arial" w:hAnsi="Arial"/>
          <w:b/>
          <w:sz w:val="24"/>
          <w:szCs w:val="24"/>
        </w:rPr>
      </w:pPr>
    </w:p>
    <w:p w:rsidR="00F13C7D" w:rsidRDefault="00F13C7D" w:rsidP="00F13C7D">
      <w:pPr>
        <w:tabs>
          <w:tab w:val="center" w:pos="7020"/>
        </w:tabs>
        <w:spacing w:line="-254" w:lineRule="auto"/>
        <w:rPr>
          <w:rFonts w:ascii="Arial" w:hAnsi="Arial"/>
        </w:rPr>
      </w:pPr>
      <w:r>
        <w:rPr>
          <w:rFonts w:ascii="Arial" w:hAnsi="Arial"/>
        </w:rPr>
        <w:t>All assets, including book groups, with a cost greater than $5,000 and an expected useful life greater than one year will be capitalized.  The same textbooks purchased on the same date will be included in a book group, for example 4</w:t>
      </w:r>
      <w:r w:rsidRPr="00F13C7D">
        <w:rPr>
          <w:rFonts w:ascii="Arial" w:hAnsi="Arial"/>
          <w:vertAlign w:val="superscript"/>
        </w:rPr>
        <w:t>th</w:t>
      </w:r>
      <w:r>
        <w:rPr>
          <w:rFonts w:ascii="Arial" w:hAnsi="Arial"/>
        </w:rPr>
        <w:t xml:space="preserve"> grade math books; will be considered a book group.  Each year, no later than June 25, the System will complete an inventory of all capital assets and determine if all assets on the inventory list are still being used by the System.  The value of any assets, which includes book groups, that are no longer being used by the System will be removed from the inventory list, balance sheet account, depreciation schedule and the DPI financial audit Report.</w:t>
      </w:r>
    </w:p>
    <w:p w:rsidR="00F13C7D" w:rsidRDefault="00F13C7D" w:rsidP="00F13C7D">
      <w:pPr>
        <w:tabs>
          <w:tab w:val="center" w:pos="7020"/>
        </w:tabs>
        <w:spacing w:line="-254" w:lineRule="auto"/>
        <w:rPr>
          <w:rFonts w:ascii="Arial" w:hAnsi="Arial"/>
        </w:rPr>
      </w:pPr>
    </w:p>
    <w:p w:rsidR="00F13C7D" w:rsidRDefault="00F13C7D" w:rsidP="00F13C7D">
      <w:pPr>
        <w:tabs>
          <w:tab w:val="center" w:pos="7020"/>
        </w:tabs>
        <w:spacing w:line="-254" w:lineRule="auto"/>
        <w:rPr>
          <w:rFonts w:ascii="Arial" w:hAnsi="Arial"/>
          <w:b/>
        </w:rPr>
      </w:pPr>
      <w:r w:rsidRPr="00F13C7D">
        <w:rPr>
          <w:rFonts w:ascii="Arial" w:hAnsi="Arial"/>
          <w:b/>
        </w:rPr>
        <w:t>Asset Categories and Useful Life:</w:t>
      </w:r>
    </w:p>
    <w:p w:rsidR="00F13C7D" w:rsidRDefault="00F13C7D" w:rsidP="00F13C7D">
      <w:pPr>
        <w:tabs>
          <w:tab w:val="center" w:pos="7020"/>
        </w:tabs>
        <w:spacing w:line="-254" w:lineRule="auto"/>
        <w:rPr>
          <w:rFonts w:ascii="Arial" w:hAnsi="Arial"/>
          <w:b/>
        </w:rPr>
      </w:pPr>
    </w:p>
    <w:p w:rsidR="00F13C7D" w:rsidRPr="00D875F0" w:rsidRDefault="00F13C7D" w:rsidP="00F13C7D">
      <w:pPr>
        <w:tabs>
          <w:tab w:val="center" w:pos="7020"/>
        </w:tabs>
        <w:spacing w:line="-254" w:lineRule="auto"/>
        <w:rPr>
          <w:rFonts w:ascii="Arial" w:hAnsi="Arial"/>
          <w:u w:val="single"/>
        </w:rPr>
      </w:pPr>
      <w:r w:rsidRPr="00D875F0">
        <w:rPr>
          <w:rFonts w:ascii="Arial" w:hAnsi="Arial"/>
          <w:u w:val="single"/>
        </w:rPr>
        <w:t>Educational Media – 5 years</w:t>
      </w:r>
    </w:p>
    <w:p w:rsidR="00F13C7D" w:rsidRDefault="00F13C7D" w:rsidP="00F13C7D">
      <w:pPr>
        <w:tabs>
          <w:tab w:val="center" w:pos="7020"/>
        </w:tabs>
        <w:spacing w:line="-254" w:lineRule="auto"/>
        <w:rPr>
          <w:rFonts w:ascii="Arial" w:hAnsi="Arial"/>
        </w:rPr>
      </w:pPr>
      <w:r>
        <w:rPr>
          <w:rFonts w:ascii="Arial" w:hAnsi="Arial"/>
        </w:rPr>
        <w:t>Consumable instructional and administrative items that are expected to serve their principal purposes for more than a year and includes text, reference books, audio-visual materials, and computer software.</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Equipment – 5 years</w:t>
      </w:r>
    </w:p>
    <w:p w:rsidR="00D875F0" w:rsidRDefault="00D875F0" w:rsidP="00F13C7D">
      <w:pPr>
        <w:tabs>
          <w:tab w:val="center" w:pos="7020"/>
        </w:tabs>
        <w:spacing w:line="-254" w:lineRule="auto"/>
        <w:rPr>
          <w:rFonts w:ascii="Arial" w:hAnsi="Arial"/>
        </w:rPr>
      </w:pPr>
      <w:r>
        <w:rPr>
          <w:rFonts w:ascii="Arial" w:hAnsi="Arial"/>
        </w:rPr>
        <w:t>Desk, chairs and computers</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rPr>
      </w:pPr>
      <w:r>
        <w:rPr>
          <w:rFonts w:ascii="Arial" w:hAnsi="Arial"/>
          <w:u w:val="single"/>
        </w:rPr>
        <w:t>Building – 40 years</w:t>
      </w:r>
    </w:p>
    <w:p w:rsidR="00D875F0" w:rsidRDefault="00B343D1" w:rsidP="00F13C7D">
      <w:pPr>
        <w:tabs>
          <w:tab w:val="center" w:pos="7020"/>
        </w:tabs>
        <w:spacing w:line="-254" w:lineRule="auto"/>
        <w:rPr>
          <w:rFonts w:ascii="Arial" w:hAnsi="Arial"/>
        </w:rPr>
      </w:pPr>
      <w:r>
        <w:rPr>
          <w:rFonts w:ascii="Arial" w:hAnsi="Arial"/>
        </w:rPr>
        <w:t>New b</w:t>
      </w:r>
      <w:r w:rsidR="00DF03AF">
        <w:rPr>
          <w:rFonts w:ascii="Arial" w:hAnsi="Arial"/>
        </w:rPr>
        <w:t xml:space="preserve">uildings and </w:t>
      </w:r>
      <w:r w:rsidR="007A4B07">
        <w:rPr>
          <w:rFonts w:ascii="Arial" w:hAnsi="Arial"/>
        </w:rPr>
        <w:t>building add-ons.</w:t>
      </w:r>
    </w:p>
    <w:p w:rsidR="007A4B07" w:rsidRDefault="007A4B07" w:rsidP="00F13C7D">
      <w:pPr>
        <w:tabs>
          <w:tab w:val="center" w:pos="7020"/>
        </w:tabs>
        <w:spacing w:line="-254" w:lineRule="auto"/>
        <w:rPr>
          <w:rFonts w:ascii="Arial" w:hAnsi="Arial"/>
        </w:rPr>
      </w:pPr>
    </w:p>
    <w:p w:rsidR="007A4B07" w:rsidRDefault="007A4B07" w:rsidP="00F13C7D">
      <w:pPr>
        <w:tabs>
          <w:tab w:val="center" w:pos="7020"/>
        </w:tabs>
        <w:spacing w:line="-254" w:lineRule="auto"/>
        <w:rPr>
          <w:rFonts w:ascii="Arial" w:hAnsi="Arial"/>
          <w:u w:val="single"/>
        </w:rPr>
      </w:pPr>
      <w:r w:rsidRPr="007A4B07">
        <w:rPr>
          <w:rFonts w:ascii="Arial" w:hAnsi="Arial"/>
          <w:u w:val="single"/>
        </w:rPr>
        <w:t>Building Improvements – 15 years</w:t>
      </w:r>
    </w:p>
    <w:p w:rsidR="007A4B07" w:rsidRDefault="007A4B07" w:rsidP="00F13C7D">
      <w:pPr>
        <w:tabs>
          <w:tab w:val="center" w:pos="7020"/>
        </w:tabs>
        <w:spacing w:line="-254" w:lineRule="auto"/>
        <w:rPr>
          <w:rFonts w:ascii="Arial" w:hAnsi="Arial"/>
        </w:rPr>
      </w:pPr>
      <w:r>
        <w:rPr>
          <w:rFonts w:ascii="Arial" w:hAnsi="Arial"/>
        </w:rPr>
        <w:t>Improvements to buildings that materially extend the useful life of a building, increase its value, or both such as lighting fixtures, heating and wiring.</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Land Improvements – 15 years</w:t>
      </w:r>
    </w:p>
    <w:p w:rsidR="00D875F0" w:rsidRDefault="00D875F0" w:rsidP="00F13C7D">
      <w:pPr>
        <w:tabs>
          <w:tab w:val="center" w:pos="7020"/>
        </w:tabs>
        <w:spacing w:line="-254" w:lineRule="auto"/>
        <w:rPr>
          <w:rFonts w:ascii="Arial" w:hAnsi="Arial"/>
        </w:rPr>
      </w:pPr>
      <w:r>
        <w:rPr>
          <w:rFonts w:ascii="Arial" w:hAnsi="Arial"/>
        </w:rPr>
        <w:t>Land improvements that enhance the plot of land and make the land more usable such as landscaping, parking lots, sidewalks and playground equipment.</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Leasehold Improvements – 15 years</w:t>
      </w:r>
    </w:p>
    <w:p w:rsidR="00D875F0" w:rsidRPr="00D875F0" w:rsidRDefault="00DF03AF" w:rsidP="00F13C7D">
      <w:pPr>
        <w:tabs>
          <w:tab w:val="center" w:pos="7020"/>
        </w:tabs>
        <w:spacing w:line="-254" w:lineRule="auto"/>
        <w:rPr>
          <w:rFonts w:ascii="Arial" w:hAnsi="Arial"/>
        </w:rPr>
      </w:pPr>
      <w:r>
        <w:rPr>
          <w:rFonts w:ascii="Arial" w:hAnsi="Arial"/>
        </w:rPr>
        <w:t xml:space="preserve">Improvements to buildings that are not owned by the school system. </w:t>
      </w:r>
    </w:p>
    <w:p w:rsidR="00D875F0" w:rsidRDefault="00D875F0" w:rsidP="00F13C7D">
      <w:pPr>
        <w:tabs>
          <w:tab w:val="center" w:pos="7020"/>
        </w:tabs>
        <w:spacing w:line="-254" w:lineRule="auto"/>
        <w:rPr>
          <w:rFonts w:ascii="Arial" w:hAnsi="Arial"/>
        </w:rPr>
      </w:pPr>
    </w:p>
    <w:p w:rsidR="00D875F0" w:rsidRPr="00D875F0" w:rsidRDefault="00D875F0"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r>
        <w:rPr>
          <w:rFonts w:ascii="Arial" w:hAnsi="Arial"/>
        </w:rPr>
        <w:t>Approved for the 20</w:t>
      </w:r>
      <w:r w:rsidR="003922F9">
        <w:rPr>
          <w:rFonts w:ascii="Arial" w:hAnsi="Arial"/>
        </w:rPr>
        <w:t>21</w:t>
      </w:r>
      <w:r w:rsidR="005242C9">
        <w:rPr>
          <w:rFonts w:ascii="Arial" w:hAnsi="Arial"/>
        </w:rPr>
        <w:t>-2</w:t>
      </w:r>
      <w:r w:rsidR="003922F9">
        <w:rPr>
          <w:rFonts w:ascii="Arial" w:hAnsi="Arial"/>
        </w:rPr>
        <w:t>2</w:t>
      </w:r>
      <w:r>
        <w:rPr>
          <w:rFonts w:ascii="Arial" w:hAnsi="Arial"/>
        </w:rPr>
        <w:t xml:space="preserve"> school year.</w:t>
      </w:r>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r>
        <w:rPr>
          <w:rFonts w:ascii="Arial" w:hAnsi="Arial"/>
        </w:rPr>
        <w:t>_______________________________</w:t>
      </w:r>
      <w:r w:rsidR="00C95F35">
        <w:rPr>
          <w:rFonts w:ascii="Arial" w:hAnsi="Arial"/>
        </w:rPr>
        <w:tab/>
        <w:t>______________</w:t>
      </w:r>
    </w:p>
    <w:p w:rsidR="00F13C7D" w:rsidRPr="00F13C7D" w:rsidRDefault="00260DB1" w:rsidP="00F13C7D">
      <w:pPr>
        <w:tabs>
          <w:tab w:val="center" w:pos="7020"/>
        </w:tabs>
        <w:spacing w:line="-254" w:lineRule="auto"/>
        <w:rPr>
          <w:rFonts w:ascii="Arial" w:hAnsi="Arial"/>
        </w:rPr>
      </w:pPr>
      <w:r>
        <w:rPr>
          <w:rFonts w:ascii="Arial" w:hAnsi="Arial"/>
        </w:rPr>
        <w:t>President</w:t>
      </w:r>
      <w:r w:rsidR="00D94B1B">
        <w:rPr>
          <w:rFonts w:ascii="Arial" w:hAnsi="Arial"/>
        </w:rPr>
        <w:t xml:space="preserve"> or Administrator</w:t>
      </w:r>
      <w:r w:rsidR="00C95F35">
        <w:rPr>
          <w:rFonts w:ascii="Arial" w:hAnsi="Arial"/>
        </w:rPr>
        <w:tab/>
        <w:t>Date</w:t>
      </w:r>
      <w:r w:rsidR="00F13C7D">
        <w:rPr>
          <w:rFonts w:ascii="Arial" w:hAnsi="Arial"/>
        </w:rPr>
        <w:tab/>
      </w:r>
    </w:p>
    <w:p w:rsidR="00F13C7D" w:rsidRDefault="00F13C7D" w:rsidP="00F13C7D">
      <w:pPr>
        <w:tabs>
          <w:tab w:val="center" w:pos="7020"/>
        </w:tabs>
        <w:spacing w:line="-254" w:lineRule="auto"/>
        <w:rPr>
          <w:rFonts w:ascii="Arial" w:hAnsi="Arial"/>
        </w:rPr>
      </w:pPr>
    </w:p>
    <w:p w:rsidR="00260DB1" w:rsidRDefault="00260DB1"/>
    <w:p w:rsidR="00260DB1" w:rsidRDefault="00260DB1"/>
    <w:p w:rsidR="00260DB1" w:rsidRDefault="00260DB1"/>
    <w:p w:rsidR="00C95F35" w:rsidRDefault="00260DB1" w:rsidP="00C95F35">
      <w:pPr>
        <w:tabs>
          <w:tab w:val="center" w:pos="7020"/>
        </w:tabs>
        <w:spacing w:line="-254" w:lineRule="auto"/>
        <w:rPr>
          <w:rFonts w:ascii="Arial" w:hAnsi="Arial"/>
        </w:rPr>
      </w:pPr>
      <w:r>
        <w:rPr>
          <w:rFonts w:ascii="Arial" w:hAnsi="Arial"/>
        </w:rPr>
        <w:t>_______________________________</w:t>
      </w:r>
      <w:r w:rsidR="00C95F35">
        <w:rPr>
          <w:rFonts w:ascii="Arial" w:hAnsi="Arial"/>
        </w:rPr>
        <w:tab/>
        <w:t>______________</w:t>
      </w:r>
    </w:p>
    <w:p w:rsidR="00260DB1" w:rsidRDefault="00260DB1" w:rsidP="00260DB1">
      <w:r>
        <w:rPr>
          <w:rFonts w:ascii="Arial" w:hAnsi="Arial"/>
        </w:rPr>
        <w:t>Dean</w:t>
      </w:r>
      <w:r w:rsidR="00D94B1B">
        <w:rPr>
          <w:rFonts w:ascii="Arial" w:hAnsi="Arial"/>
        </w:rPr>
        <w:t xml:space="preserve"> or Pastor</w:t>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t xml:space="preserve">     Date</w:t>
      </w:r>
    </w:p>
    <w:sectPr w:rsidR="00260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AE" w:rsidRDefault="000425AE" w:rsidP="000425AE">
      <w:r>
        <w:separator/>
      </w:r>
    </w:p>
  </w:endnote>
  <w:endnote w:type="continuationSeparator" w:id="0">
    <w:p w:rsidR="000425AE" w:rsidRDefault="000425AE" w:rsidP="000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9" w:rsidRDefault="003922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AE" w:rsidRDefault="003922F9">
    <w:pPr>
      <w:pStyle w:val="Footer"/>
    </w:pPr>
    <w:r>
      <w:t>July 30,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9" w:rsidRDefault="00392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AE" w:rsidRDefault="000425AE" w:rsidP="000425AE">
      <w:r>
        <w:separator/>
      </w:r>
    </w:p>
  </w:footnote>
  <w:footnote w:type="continuationSeparator" w:id="0">
    <w:p w:rsidR="000425AE" w:rsidRDefault="000425AE" w:rsidP="00042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9" w:rsidRDefault="003922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9" w:rsidRDefault="003922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F9" w:rsidRDefault="00392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D"/>
    <w:rsid w:val="000425AE"/>
    <w:rsid w:val="00260DB1"/>
    <w:rsid w:val="002A2812"/>
    <w:rsid w:val="003922F9"/>
    <w:rsid w:val="003B005A"/>
    <w:rsid w:val="004662F2"/>
    <w:rsid w:val="005242C9"/>
    <w:rsid w:val="005671A8"/>
    <w:rsid w:val="006F5D9A"/>
    <w:rsid w:val="007A4B07"/>
    <w:rsid w:val="00B343D1"/>
    <w:rsid w:val="00B53C42"/>
    <w:rsid w:val="00C95F35"/>
    <w:rsid w:val="00CF2E61"/>
    <w:rsid w:val="00D8275E"/>
    <w:rsid w:val="00D875F0"/>
    <w:rsid w:val="00D92D61"/>
    <w:rsid w:val="00D94B1B"/>
    <w:rsid w:val="00DF03AF"/>
    <w:rsid w:val="00F1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6C25-BB66-4AF5-9587-F1AAA913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Header">
    <w:name w:val="header"/>
    <w:basedOn w:val="Normal"/>
    <w:link w:val="HeaderChar"/>
    <w:uiPriority w:val="99"/>
    <w:unhideWhenUsed/>
    <w:rsid w:val="000425AE"/>
    <w:pPr>
      <w:tabs>
        <w:tab w:val="center" w:pos="4680"/>
        <w:tab w:val="right" w:pos="9360"/>
      </w:tabs>
    </w:pPr>
  </w:style>
  <w:style w:type="character" w:customStyle="1" w:styleId="HeaderChar">
    <w:name w:val="Header Char"/>
    <w:basedOn w:val="DefaultParagraphFont"/>
    <w:link w:val="Header"/>
    <w:uiPriority w:val="99"/>
    <w:rsid w:val="000425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25AE"/>
    <w:pPr>
      <w:tabs>
        <w:tab w:val="center" w:pos="4680"/>
        <w:tab w:val="right" w:pos="9360"/>
      </w:tabs>
    </w:pPr>
  </w:style>
  <w:style w:type="character" w:customStyle="1" w:styleId="FooterChar">
    <w:name w:val="Footer Char"/>
    <w:basedOn w:val="DefaultParagraphFont"/>
    <w:link w:val="Footer"/>
    <w:uiPriority w:val="99"/>
    <w:rsid w:val="000425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dcterms:created xsi:type="dcterms:W3CDTF">2021-08-12T18:31:00Z</dcterms:created>
  <dcterms:modified xsi:type="dcterms:W3CDTF">2021-08-12T18:31:00Z</dcterms:modified>
</cp:coreProperties>
</file>