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94" w:rsidRDefault="00224B94" w:rsidP="008F62F5">
      <w:pPr>
        <w:pStyle w:val="NoSpacing"/>
      </w:pPr>
    </w:p>
    <w:p w:rsidR="00921EAA" w:rsidRDefault="00440A60" w:rsidP="00921EAA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2A0356FD" wp14:editId="5D2CE1C1">
            <wp:extent cx="3257550" cy="1384459"/>
            <wp:effectExtent l="0" t="0" r="0" b="6350"/>
            <wp:docPr id="3" name="Picture 3" descr="National Eucharistic Con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ucharistic Congres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65" cy="14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60" w:rsidRPr="00F2149E" w:rsidRDefault="00440A60" w:rsidP="00440A60">
      <w:pPr>
        <w:jc w:val="center"/>
        <w:rPr>
          <w:b/>
          <w:color w:val="000000" w:themeColor="text1"/>
          <w:sz w:val="28"/>
          <w:szCs w:val="28"/>
        </w:rPr>
      </w:pPr>
      <w:r w:rsidRPr="0007279A">
        <w:rPr>
          <w:b/>
          <w:color w:val="000000" w:themeColor="text1"/>
          <w:sz w:val="28"/>
          <w:szCs w:val="28"/>
        </w:rPr>
        <w:t>Parish Small Groups Series</w:t>
      </w:r>
    </w:p>
    <w:p w:rsidR="00440A60" w:rsidRPr="00D2091A" w:rsidRDefault="00440A60" w:rsidP="00440A60">
      <w:pPr>
        <w:jc w:val="center"/>
        <w:rPr>
          <w:b/>
          <w:sz w:val="36"/>
          <w:szCs w:val="36"/>
        </w:rPr>
      </w:pPr>
      <w:r w:rsidRPr="007E6A23">
        <w:rPr>
          <w:b/>
          <w:color w:val="FF0000"/>
          <w:sz w:val="36"/>
          <w:szCs w:val="36"/>
        </w:rPr>
        <w:t>Catch the Fire!</w:t>
      </w:r>
      <w:r w:rsidRPr="007E6A23">
        <w:rPr>
          <w:b/>
          <w:color w:val="FF0000"/>
          <w:sz w:val="36"/>
          <w:szCs w:val="36"/>
        </w:rPr>
        <w:br/>
        <w:t>Catch the Love!</w:t>
      </w:r>
    </w:p>
    <w:p w:rsidR="008F62F5" w:rsidRPr="00921EAA" w:rsidRDefault="001B47A0" w:rsidP="008F62F5">
      <w:pPr>
        <w:pStyle w:val="NoSpacing"/>
        <w:rPr>
          <w:rFonts w:eastAsia="Calibri" w:cstheme="minorHAnsi"/>
          <w:b/>
          <w:bCs/>
          <w:sz w:val="32"/>
          <w:szCs w:val="32"/>
          <w:u w:color="00206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1EAA">
        <w:rPr>
          <w:rFonts w:eastAsia="Calibri" w:cstheme="minorHAnsi"/>
          <w:b/>
          <w:bCs/>
          <w:sz w:val="32"/>
          <w:szCs w:val="32"/>
          <w:u w:color="00206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Hosting the Sessions</w:t>
      </w:r>
    </w:p>
    <w:p w:rsidR="008F62F5" w:rsidRPr="00921EAA" w:rsidRDefault="008F62F5" w:rsidP="008F62F5">
      <w:pPr>
        <w:pStyle w:val="NoSpacing"/>
        <w:rPr>
          <w:rFonts w:cstheme="minorHAnsi"/>
          <w:sz w:val="24"/>
          <w:szCs w:val="24"/>
        </w:rPr>
      </w:pPr>
    </w:p>
    <w:p w:rsidR="008F62F5" w:rsidRPr="00921EAA" w:rsidRDefault="008F62F5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Step 1:  </w:t>
      </w:r>
      <w:r w:rsidR="00C45A4E">
        <w:rPr>
          <w:rFonts w:asciiTheme="minorHAnsi" w:hAnsiTheme="minorHAnsi" w:cstheme="minorHAnsi"/>
          <w:b/>
          <w:bCs/>
          <w:color w:val="auto"/>
          <w:u w:color="002060"/>
        </w:rPr>
        <w:t>Access</w:t>
      </w:r>
      <w:r w:rsidR="001B47A0"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 the Videos</w:t>
      </w:r>
    </w:p>
    <w:p w:rsidR="00C45A4E" w:rsidRDefault="00C45A4E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Before deciding where the sessions will be held, check the link here </w:t>
      </w:r>
      <w:hyperlink r:id="rId8" w:history="1">
        <w:r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diolc.org/</w:t>
        </w:r>
        <w:proofErr w:type="spellStart"/>
        <w:r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eucharist</w:t>
        </w:r>
        <w:proofErr w:type="spellEnd"/>
        <w:r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/parishioners</w:t>
        </w:r>
      </w:hyperlink>
      <w:r>
        <w:rPr>
          <w:rFonts w:asciiTheme="minorHAnsi" w:hAnsiTheme="minorHAnsi" w:cstheme="minorHAnsi"/>
          <w:color w:val="auto"/>
        </w:rPr>
        <w:t xml:space="preserve"> and then click on July 17 Opening Ceremony to see if you have </w:t>
      </w:r>
      <w:r w:rsidRPr="00921EAA">
        <w:rPr>
          <w:rFonts w:asciiTheme="minorHAnsi" w:hAnsiTheme="minorHAnsi" w:cstheme="minorHAnsi"/>
          <w:color w:val="auto"/>
        </w:rPr>
        <w:t>good Wi-Fi</w:t>
      </w:r>
      <w:r>
        <w:rPr>
          <w:rFonts w:asciiTheme="minorHAnsi" w:hAnsiTheme="minorHAnsi" w:cstheme="minorHAnsi"/>
          <w:color w:val="auto"/>
        </w:rPr>
        <w:t xml:space="preserve"> available. If not, another space will need to be found.</w:t>
      </w:r>
    </w:p>
    <w:p w:rsidR="00C45A4E" w:rsidRDefault="00C45A4E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The videos cannot be downloaded as the videos are on EWTN On Demand.</w:t>
      </w:r>
    </w:p>
    <w:p w:rsidR="00C45A4E" w:rsidRPr="00C45A4E" w:rsidRDefault="00C45A4E" w:rsidP="00C45A4E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You </w:t>
      </w:r>
      <w:r w:rsidR="008F62F5" w:rsidRPr="00C45A4E">
        <w:rPr>
          <w:rFonts w:asciiTheme="minorHAnsi" w:hAnsiTheme="minorHAnsi" w:cstheme="minorHAnsi"/>
          <w:color w:val="auto"/>
          <w:u w:color="002060"/>
        </w:rPr>
        <w:t>will have Closed Captions (CC) as an option</w:t>
      </w:r>
      <w:r w:rsidR="00FA1CA4">
        <w:rPr>
          <w:rFonts w:asciiTheme="minorHAnsi" w:hAnsiTheme="minorHAnsi" w:cstheme="minorHAnsi"/>
          <w:color w:val="auto"/>
          <w:u w:color="002060"/>
        </w:rPr>
        <w:t>, in the bottom right corner noted as CC</w:t>
      </w:r>
      <w:r w:rsidR="008F62F5" w:rsidRPr="00C45A4E">
        <w:rPr>
          <w:rFonts w:asciiTheme="minorHAnsi" w:hAnsiTheme="minorHAnsi" w:cstheme="minorHAnsi"/>
          <w:color w:val="auto"/>
          <w:u w:color="002060"/>
        </w:rPr>
        <w:t>. To turn them on/off, find and use the toggle option</w:t>
      </w:r>
      <w:r>
        <w:rPr>
          <w:rFonts w:asciiTheme="minorHAnsi" w:hAnsiTheme="minorHAnsi" w:cstheme="minorHAnsi"/>
          <w:color w:val="auto"/>
        </w:rPr>
        <w:t>.</w:t>
      </w:r>
    </w:p>
    <w:p w:rsidR="00F572C5" w:rsidRPr="00FA1CA4" w:rsidRDefault="00C45A4E" w:rsidP="0036366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color="002060"/>
        </w:rPr>
        <w:t xml:space="preserve">Always open the Internet link well ahead of time and open the video to be prepared for the session. </w:t>
      </w:r>
    </w:p>
    <w:p w:rsidR="00FA1CA4" w:rsidRPr="00355E1C" w:rsidRDefault="00FA1CA4" w:rsidP="0036366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color="002060"/>
        </w:rPr>
        <w:t xml:space="preserve">The main Revival Sessions, where all 60,000 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people </w:t>
      </w:r>
      <w:r>
        <w:rPr>
          <w:rFonts w:asciiTheme="minorHAnsi" w:hAnsiTheme="minorHAnsi" w:cstheme="minorHAnsi"/>
          <w:color w:val="auto"/>
          <w:u w:color="002060"/>
        </w:rPr>
        <w:t>attended, are the sessions that are being used for this s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eries. </w:t>
      </w:r>
      <w:r>
        <w:rPr>
          <w:rFonts w:asciiTheme="minorHAnsi" w:hAnsiTheme="minorHAnsi" w:cstheme="minorHAnsi"/>
          <w:color w:val="auto"/>
          <w:u w:color="002060"/>
        </w:rPr>
        <w:t xml:space="preserve">For these seven sessions, key segments have been timed out for a total of 90 minutes for each session. </w:t>
      </w:r>
    </w:p>
    <w:p w:rsidR="00355E1C" w:rsidRPr="00FA1CA4" w:rsidRDefault="00355E1C" w:rsidP="00355E1C">
      <w:pPr>
        <w:pStyle w:val="BodyA"/>
        <w:ind w:firstLine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Playing</w:t>
      </w:r>
      <w:r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 the </w:t>
      </w:r>
      <w:r>
        <w:rPr>
          <w:rFonts w:asciiTheme="minorHAnsi" w:hAnsiTheme="minorHAnsi" w:cstheme="minorHAnsi"/>
          <w:b/>
          <w:bCs/>
          <w:color w:val="auto"/>
          <w:u w:color="002060"/>
        </w:rPr>
        <w:t xml:space="preserve">Timed Segments of the </w:t>
      </w:r>
      <w:r w:rsidRPr="00921EAA">
        <w:rPr>
          <w:rFonts w:asciiTheme="minorHAnsi" w:hAnsiTheme="minorHAnsi" w:cstheme="minorHAnsi"/>
          <w:b/>
          <w:bCs/>
          <w:color w:val="auto"/>
          <w:u w:color="002060"/>
        </w:rPr>
        <w:t>Videos</w:t>
      </w:r>
    </w:p>
    <w:p w:rsidR="00FA1CA4" w:rsidRPr="00FA1CA4" w:rsidRDefault="00FA1CA4" w:rsidP="00FA1CA4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FA1CA4">
        <w:rPr>
          <w:rFonts w:asciiTheme="minorHAnsi" w:hAnsiTheme="minorHAnsi" w:cstheme="minorHAnsi"/>
          <w:color w:val="auto"/>
          <w:u w:color="002060"/>
        </w:rPr>
        <w:t xml:space="preserve">The Facilitator Copy for each session notates in red the starting time and ending time for each segment that will be viewed. </w:t>
      </w:r>
      <w:r>
        <w:rPr>
          <w:rFonts w:asciiTheme="minorHAnsi" w:hAnsiTheme="minorHAnsi" w:cstheme="minorHAnsi"/>
          <w:color w:val="auto"/>
          <w:u w:color="002060"/>
        </w:rPr>
        <w:t xml:space="preserve">The </w:t>
      </w:r>
      <w:r>
        <w:rPr>
          <w:rFonts w:asciiTheme="minorHAnsi" w:hAnsiTheme="minorHAnsi" w:cstheme="minorHAnsi"/>
          <w:color w:val="auto"/>
          <w:u w:color="002060"/>
        </w:rPr>
        <w:t>“</w:t>
      </w:r>
      <w:r>
        <w:rPr>
          <w:rFonts w:asciiTheme="minorHAnsi" w:hAnsiTheme="minorHAnsi" w:cstheme="minorHAnsi"/>
          <w:color w:val="auto"/>
          <w:u w:color="002060"/>
        </w:rPr>
        <w:t>timer</w:t>
      </w:r>
      <w:r>
        <w:rPr>
          <w:rFonts w:asciiTheme="minorHAnsi" w:hAnsiTheme="minorHAnsi" w:cstheme="minorHAnsi"/>
          <w:color w:val="auto"/>
          <w:u w:color="002060"/>
        </w:rPr>
        <w:t>”</w:t>
      </w:r>
      <w:r>
        <w:rPr>
          <w:rFonts w:asciiTheme="minorHAnsi" w:hAnsiTheme="minorHAnsi" w:cstheme="minorHAnsi"/>
          <w:color w:val="auto"/>
          <w:u w:color="002060"/>
        </w:rPr>
        <w:t xml:space="preserve"> is 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at the bottom of the video screen and starts in the left-hand corner. 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The timer is </w:t>
      </w:r>
      <w:r>
        <w:rPr>
          <w:rFonts w:asciiTheme="minorHAnsi" w:hAnsiTheme="minorHAnsi" w:cstheme="minorHAnsi"/>
          <w:color w:val="auto"/>
          <w:u w:color="002060"/>
        </w:rPr>
        <w:t xml:space="preserve">a white dot which shows the timing when the cursor is placed over the white dot. The “start” button is a triangle also at the bottom, left-hand corner of the screen. </w:t>
      </w:r>
      <w:r w:rsidRPr="00FA1CA4">
        <w:rPr>
          <w:rFonts w:asciiTheme="minorHAnsi" w:hAnsiTheme="minorHAnsi" w:cstheme="minorHAnsi"/>
          <w:color w:val="auto"/>
          <w:u w:color="002060"/>
        </w:rPr>
        <w:t>After clicking on the triangle, the video will begin playing. When you place the cursor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 on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 the 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bottom of the video screen, at the </w:t>
      </w:r>
      <w:r w:rsidRPr="00FA1CA4">
        <w:rPr>
          <w:rFonts w:asciiTheme="minorHAnsi" w:hAnsiTheme="minorHAnsi" w:cstheme="minorHAnsi"/>
          <w:color w:val="auto"/>
          <w:u w:color="002060"/>
        </w:rPr>
        <w:t>white button</w:t>
      </w:r>
      <w:r w:rsidR="00383060">
        <w:rPr>
          <w:rFonts w:asciiTheme="minorHAnsi" w:hAnsiTheme="minorHAnsi" w:cstheme="minorHAnsi"/>
          <w:color w:val="auto"/>
          <w:u w:color="002060"/>
        </w:rPr>
        <w:t>,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 you will see the timing for the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 specific point of the recording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. To move the white button to the next segment of the video, simply slide the white dot using the </w:t>
      </w:r>
      <w:r w:rsidR="00383060">
        <w:rPr>
          <w:rFonts w:asciiTheme="minorHAnsi" w:hAnsiTheme="minorHAnsi" w:cstheme="minorHAnsi"/>
          <w:color w:val="auto"/>
          <w:u w:color="002060"/>
        </w:rPr>
        <w:t>cursor to the next timed portion of the video</w:t>
      </w:r>
      <w:r w:rsidR="00355E1C">
        <w:rPr>
          <w:rFonts w:asciiTheme="minorHAnsi" w:hAnsiTheme="minorHAnsi" w:cstheme="minorHAnsi"/>
          <w:color w:val="auto"/>
          <w:u w:color="002060"/>
        </w:rPr>
        <w:t>.</w:t>
      </w:r>
    </w:p>
    <w:p w:rsidR="00C45A4E" w:rsidRPr="00921EAA" w:rsidRDefault="00C45A4E" w:rsidP="00383060">
      <w:pPr>
        <w:pStyle w:val="BodyA"/>
        <w:rPr>
          <w:rFonts w:asciiTheme="minorHAnsi" w:eastAsia="Tahoma" w:hAnsiTheme="minorHAnsi" w:cstheme="minorHAnsi"/>
          <w:b/>
          <w:bCs/>
          <w:color w:val="auto"/>
          <w:u w:color="002060"/>
        </w:rPr>
      </w:pPr>
    </w:p>
    <w:p w:rsidR="008F62F5" w:rsidRPr="00921EAA" w:rsidRDefault="00355E1C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2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>:  Print and Place Participant Handout</w:t>
      </w:r>
      <w:r w:rsidR="00FA1CA4">
        <w:rPr>
          <w:rFonts w:asciiTheme="minorHAnsi" w:hAnsiTheme="minorHAnsi" w:cstheme="minorHAnsi"/>
          <w:b/>
          <w:bCs/>
          <w:color w:val="auto"/>
          <w:u w:color="002060"/>
        </w:rPr>
        <w:t>(s)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 at Tables</w:t>
      </w:r>
    </w:p>
    <w:p w:rsidR="008F62F5" w:rsidRPr="00921EAA" w:rsidRDefault="00007378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Find the handouts for each Sess</w:t>
      </w:r>
      <w:r w:rsidR="004D339B" w:rsidRPr="00921EAA">
        <w:rPr>
          <w:rFonts w:asciiTheme="minorHAnsi" w:hAnsiTheme="minorHAnsi" w:cstheme="minorHAnsi"/>
          <w:color w:val="auto"/>
          <w:u w:color="002060"/>
        </w:rPr>
        <w:t>ion by</w:t>
      </w:r>
      <w:r w:rsidR="00FA1CA4">
        <w:rPr>
          <w:rFonts w:asciiTheme="minorHAnsi" w:hAnsiTheme="minorHAnsi" w:cstheme="minorHAnsi"/>
          <w:color w:val="auto"/>
          <w:u w:color="002060"/>
        </w:rPr>
        <w:t xml:space="preserve"> clicking here: </w:t>
      </w:r>
      <w:hyperlink r:id="rId9" w:history="1">
        <w:r w:rsidR="00FA1CA4"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diolc.org/</w:t>
        </w:r>
        <w:proofErr w:type="spellStart"/>
        <w:r w:rsidR="00FA1CA4"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eucharist</w:t>
        </w:r>
        <w:proofErr w:type="spellEnd"/>
        <w:r w:rsidR="00FA1CA4"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/parishioners</w:t>
        </w:r>
      </w:hyperlink>
    </w:p>
    <w:p w:rsidR="00921EAA" w:rsidRPr="00440A60" w:rsidRDefault="00855F7A" w:rsidP="00921EAA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lastRenderedPageBreak/>
        <w:t>You m</w:t>
      </w:r>
      <w:r w:rsidR="00007378" w:rsidRPr="00921EAA">
        <w:rPr>
          <w:rFonts w:asciiTheme="minorHAnsi" w:hAnsiTheme="minorHAnsi" w:cstheme="minorHAnsi"/>
          <w:color w:val="auto"/>
          <w:u w:color="002060"/>
        </w:rPr>
        <w:t>ay</w:t>
      </w:r>
      <w:r w:rsidR="008F62F5" w:rsidRPr="00921EAA">
        <w:rPr>
          <w:rFonts w:asciiTheme="minorHAnsi" w:hAnsiTheme="minorHAnsi" w:cstheme="minorHAnsi"/>
          <w:color w:val="auto"/>
          <w:u w:color="002060"/>
        </w:rPr>
        <w:t xml:space="preserve"> print double-sided</w:t>
      </w:r>
      <w:r w:rsidR="00007378" w:rsidRPr="00921EAA">
        <w:rPr>
          <w:rFonts w:asciiTheme="minorHAnsi" w:hAnsiTheme="minorHAnsi" w:cstheme="minorHAnsi"/>
          <w:color w:val="auto"/>
          <w:u w:color="002060"/>
        </w:rPr>
        <w:t xml:space="preserve"> and</w:t>
      </w:r>
      <w:r w:rsidR="008F62F5" w:rsidRPr="00921EAA">
        <w:rPr>
          <w:rFonts w:asciiTheme="minorHAnsi" w:hAnsiTheme="minorHAnsi" w:cstheme="minorHAnsi"/>
          <w:color w:val="auto"/>
          <w:u w:color="002060"/>
        </w:rPr>
        <w:t xml:space="preserve"> staple</w:t>
      </w:r>
      <w:r w:rsidR="00FA1CA4">
        <w:rPr>
          <w:rFonts w:asciiTheme="minorHAnsi" w:hAnsiTheme="minorHAnsi" w:cstheme="minorHAnsi"/>
          <w:color w:val="auto"/>
          <w:u w:color="002060"/>
        </w:rPr>
        <w:t xml:space="preserve"> when needed</w:t>
      </w:r>
      <w:r w:rsidR="008F62F5" w:rsidRPr="00921EAA">
        <w:rPr>
          <w:rFonts w:asciiTheme="minorHAnsi" w:hAnsiTheme="minorHAnsi" w:cstheme="minorHAnsi"/>
          <w:color w:val="auto"/>
          <w:u w:color="002060"/>
        </w:rPr>
        <w:t xml:space="preserve">. </w:t>
      </w:r>
      <w:r w:rsidR="00FA1CA4">
        <w:rPr>
          <w:rFonts w:asciiTheme="minorHAnsi" w:hAnsiTheme="minorHAnsi" w:cstheme="minorHAnsi"/>
          <w:color w:val="auto"/>
          <w:u w:color="002060"/>
        </w:rPr>
        <w:t>For some sessions there is an additional handout that includes a Litany of Prayer or Lyrics to a song(s).</w:t>
      </w:r>
    </w:p>
    <w:p w:rsidR="008F62F5" w:rsidRDefault="008F62F5" w:rsidP="008F62F5">
      <w:pPr>
        <w:pStyle w:val="BodyA"/>
        <w:ind w:left="720"/>
        <w:rPr>
          <w:rFonts w:asciiTheme="minorHAnsi" w:eastAsia="Tahoma" w:hAnsiTheme="minorHAnsi" w:cstheme="minorHAnsi"/>
          <w:b/>
          <w:bCs/>
          <w:color w:val="auto"/>
          <w:u w:color="002060"/>
        </w:rPr>
      </w:pPr>
    </w:p>
    <w:p w:rsidR="00C45A4E" w:rsidRDefault="00C45A4E" w:rsidP="008F62F5">
      <w:pPr>
        <w:pStyle w:val="BodyA"/>
        <w:ind w:left="720"/>
        <w:rPr>
          <w:rFonts w:asciiTheme="minorHAnsi" w:eastAsia="Tahoma" w:hAnsiTheme="minorHAnsi" w:cstheme="minorHAnsi"/>
          <w:b/>
          <w:bCs/>
          <w:color w:val="auto"/>
          <w:u w:color="002060"/>
        </w:rPr>
      </w:pPr>
    </w:p>
    <w:p w:rsidR="008F62F5" w:rsidRPr="00921EAA" w:rsidRDefault="00355E1C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3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>:  Prepare Meeting Room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val="single" w:color="002060"/>
        </w:rPr>
        <w:t>Tables</w:t>
      </w:r>
      <w:r w:rsidRPr="00921EAA">
        <w:rPr>
          <w:rFonts w:asciiTheme="minorHAnsi" w:hAnsiTheme="minorHAnsi" w:cstheme="minorHAnsi"/>
          <w:color w:val="auto"/>
          <w:u w:color="002060"/>
        </w:rPr>
        <w:t>:  Tables with 6 chairs each; name tags &amp; markers; Participant Handout; pens for note-taking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val="single" w:color="002060"/>
        </w:rPr>
        <w:t>Audio/Visual</w:t>
      </w:r>
      <w:r w:rsidRPr="00921EAA">
        <w:rPr>
          <w:rFonts w:asciiTheme="minorHAnsi" w:hAnsiTheme="minorHAnsi" w:cstheme="minorHAnsi"/>
          <w:color w:val="auto"/>
          <w:u w:color="002060"/>
        </w:rPr>
        <w:t>:  Set up screen and test audio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val="single" w:color="002060"/>
        </w:rPr>
        <w:t>Hospitality</w:t>
      </w:r>
      <w:r w:rsidRPr="00921EAA">
        <w:rPr>
          <w:rFonts w:asciiTheme="minorHAnsi" w:hAnsiTheme="minorHAnsi" w:cstheme="minorHAnsi"/>
          <w:color w:val="auto"/>
          <w:u w:color="002060"/>
        </w:rPr>
        <w:t>:  Water, coffee, and cookies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Default="008F62F5" w:rsidP="008F62F5">
      <w:pPr>
        <w:pStyle w:val="BodyA"/>
        <w:ind w:left="720"/>
        <w:rPr>
          <w:rFonts w:asciiTheme="minorHAnsi" w:eastAsia="Tahoma" w:hAnsiTheme="minorHAnsi" w:cstheme="minorHAnsi"/>
          <w:color w:val="auto"/>
          <w:u w:color="002060"/>
        </w:rPr>
      </w:pPr>
    </w:p>
    <w:p w:rsidR="00C45A4E" w:rsidRPr="00921EAA" w:rsidRDefault="00C45A4E" w:rsidP="008F62F5">
      <w:pPr>
        <w:pStyle w:val="BodyA"/>
        <w:ind w:left="720"/>
        <w:rPr>
          <w:rFonts w:asciiTheme="minorHAnsi" w:eastAsia="Tahoma" w:hAnsiTheme="minorHAnsi" w:cstheme="minorHAnsi"/>
          <w:color w:val="auto"/>
          <w:u w:color="002060"/>
        </w:rPr>
      </w:pPr>
    </w:p>
    <w:p w:rsidR="008F62F5" w:rsidRPr="00921EAA" w:rsidRDefault="00355E1C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4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>:  Staff the Event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Parish Staff on site:  Greet participants as arrive &amp; thank as leave; start video &amp; oversee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If providing childcare, make preparations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  <w:r w:rsidR="00921EAA">
        <w:rPr>
          <w:rFonts w:asciiTheme="minorHAnsi" w:hAnsiTheme="minorHAnsi" w:cstheme="minorHAnsi"/>
          <w:color w:val="auto"/>
          <w:u w:color="002060"/>
        </w:rPr>
        <w:br/>
      </w:r>
    </w:p>
    <w:p w:rsidR="00C45A4E" w:rsidRPr="00921EAA" w:rsidRDefault="00C45A4E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</w:p>
    <w:p w:rsidR="001B47A0" w:rsidRPr="00921EAA" w:rsidRDefault="00355E1C" w:rsidP="001B47A0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  <w:u w:color="002060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5</w:t>
      </w:r>
      <w:bookmarkStart w:id="0" w:name="_GoBack"/>
      <w:bookmarkEnd w:id="0"/>
      <w:r w:rsidR="001B47A0" w:rsidRPr="00921EAA">
        <w:rPr>
          <w:rFonts w:asciiTheme="minorHAnsi" w:hAnsiTheme="minorHAnsi" w:cstheme="minorHAnsi"/>
          <w:b/>
          <w:bCs/>
          <w:color w:val="auto"/>
          <w:u w:color="002060"/>
        </w:rPr>
        <w:t>: Repeat the process for the remaining Sessions</w:t>
      </w:r>
    </w:p>
    <w:p w:rsidR="001B47A0" w:rsidRPr="00921EAA" w:rsidRDefault="001B47A0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  <w:u w:color="002060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Prepare in the same fashion; thank &amp; encourage table facilitators throughout.</w:t>
      </w:r>
    </w:p>
    <w:p w:rsidR="001B47A0" w:rsidRPr="00921EAA" w:rsidRDefault="001B47A0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  <w:u w:color="002060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Take the opportunity to invite participants to other parish activities/offerings.</w:t>
      </w:r>
    </w:p>
    <w:p w:rsidR="001B47A0" w:rsidRDefault="001B47A0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  <w:u w:color="002060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Invite facilitators to help start or grow a parish small group ministry.</w:t>
      </w: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440A60" w:rsidP="00440A60">
      <w:pPr>
        <w:pStyle w:val="BodyA"/>
        <w:jc w:val="center"/>
        <w:rPr>
          <w:rFonts w:asciiTheme="minorHAnsi" w:hAnsiTheme="minorHAnsi" w:cstheme="minorHAnsi"/>
          <w:color w:val="auto"/>
          <w:u w:color="002060"/>
        </w:rPr>
      </w:pPr>
      <w:r w:rsidRPr="00AB26FC">
        <w:rPr>
          <w:b/>
          <w:i/>
          <w:noProof/>
          <w:sz w:val="36"/>
          <w:szCs w:val="36"/>
        </w:rPr>
        <w:drawing>
          <wp:inline distT="0" distB="0" distL="0" distR="0" wp14:anchorId="34B5F107" wp14:editId="42EC5F9A">
            <wp:extent cx="2186940" cy="906780"/>
            <wp:effectExtent l="0" t="0" r="3810" b="7620"/>
            <wp:docPr id="1" name="Picture 1" descr="E:\Shared drives\Catechesis\Ann\Flashdrive 1.12.22\Eucharistic Revival\Logo with words\ER_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red drives\Catechesis\Ann\Flashdrive 1.12.22\Eucharistic Revival\Logo with words\ER_word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12" cy="9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Pr="00440A60" w:rsidRDefault="00614436" w:rsidP="00440A60">
      <w:pPr>
        <w:ind w:left="360"/>
        <w:rPr>
          <w:i/>
          <w:color w:val="000000" w:themeColor="text1"/>
          <w:sz w:val="20"/>
          <w:szCs w:val="20"/>
        </w:rPr>
      </w:pPr>
      <w:r w:rsidRPr="005543F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FD1679" wp14:editId="3F53EC9C">
            <wp:simplePos x="0" y="0"/>
            <wp:positionH relativeFrom="column">
              <wp:posOffset>4248150</wp:posOffset>
            </wp:positionH>
            <wp:positionV relativeFrom="paragraph">
              <wp:posOffset>362585</wp:posOffset>
            </wp:positionV>
            <wp:extent cx="1247775" cy="415925"/>
            <wp:effectExtent l="0" t="0" r="9525" b="3175"/>
            <wp:wrapNone/>
            <wp:docPr id="2" name="Picture 2" descr="G:\Diocesan Images and Style Guides\Diocese of La Crosse Logo wCrest\Color\Jpeg\DioCrest_4Color_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ocesan Images and Style Guides\Diocese of La Crosse Logo wCrest\Color\Jpeg\DioCrest_4Color_Outlin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0"/>
          <w:szCs w:val="20"/>
        </w:rPr>
        <w:t>NOTE: For implementation in the Diocese of La Crosse, we have adapted t</w:t>
      </w:r>
      <w:r w:rsidRPr="005543F7">
        <w:rPr>
          <w:i/>
          <w:color w:val="000000" w:themeColor="text1"/>
          <w:sz w:val="20"/>
          <w:szCs w:val="20"/>
        </w:rPr>
        <w:t xml:space="preserve">hese training and promotional materials for the </w:t>
      </w:r>
      <w:r w:rsidR="00440A60" w:rsidRPr="00440A60">
        <w:rPr>
          <w:i/>
          <w:color w:val="000000" w:themeColor="text1"/>
          <w:sz w:val="20"/>
          <w:szCs w:val="20"/>
        </w:rPr>
        <w:t>Eucharistic Congress Parish Small Group</w:t>
      </w:r>
      <w:r w:rsidRPr="005543F7">
        <w:rPr>
          <w:i/>
          <w:color w:val="000000" w:themeColor="text1"/>
          <w:sz w:val="20"/>
          <w:szCs w:val="20"/>
        </w:rPr>
        <w:t xml:space="preserve"> series from those produced by the National Eucharistic Revival Team in collaboration with the Augustine Institute.</w:t>
      </w:r>
      <w:r>
        <w:rPr>
          <w:i/>
          <w:color w:val="000000" w:themeColor="text1"/>
          <w:sz w:val="20"/>
          <w:szCs w:val="20"/>
        </w:rPr>
        <w:t xml:space="preserve">  </w:t>
      </w:r>
    </w:p>
    <w:sectPr w:rsidR="00614436" w:rsidRPr="00440A60" w:rsidSect="00921EAA">
      <w:headerReference w:type="default" r:id="rId12"/>
      <w:pgSz w:w="12240" w:h="15840"/>
      <w:pgMar w:top="10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D33" w:rsidRDefault="00152D33" w:rsidP="00FA5CA4">
      <w:pPr>
        <w:spacing w:after="0" w:line="240" w:lineRule="auto"/>
      </w:pPr>
      <w:r>
        <w:separator/>
      </w:r>
    </w:p>
  </w:endnote>
  <w:endnote w:type="continuationSeparator" w:id="0">
    <w:p w:rsidR="00152D33" w:rsidRDefault="00152D33" w:rsidP="00F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D33" w:rsidRDefault="00152D33" w:rsidP="00FA5CA4">
      <w:pPr>
        <w:spacing w:after="0" w:line="240" w:lineRule="auto"/>
      </w:pPr>
      <w:r>
        <w:separator/>
      </w:r>
    </w:p>
  </w:footnote>
  <w:footnote w:type="continuationSeparator" w:id="0">
    <w:p w:rsidR="00152D33" w:rsidRDefault="00152D33" w:rsidP="00FA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A4" w:rsidRPr="00FA5CA4" w:rsidRDefault="00FA5CA4">
    <w:pPr>
      <w:pStyle w:val="Header"/>
      <w:rPr>
        <w:color w:val="FF0000"/>
      </w:rPr>
    </w:pPr>
    <w:r w:rsidRPr="00FA5CA4">
      <w:rPr>
        <w:color w:val="FF0000"/>
      </w:rPr>
      <w:t>4.  Hosting the Sessions</w:t>
    </w:r>
  </w:p>
  <w:p w:rsidR="00FA5CA4" w:rsidRDefault="00FA5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B5C"/>
    <w:multiLevelType w:val="hybridMultilevel"/>
    <w:tmpl w:val="E42A9DFC"/>
    <w:styleLink w:val="ImportedStyle1"/>
    <w:lvl w:ilvl="0" w:tplc="518E0FF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A7530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CE1A8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C2EF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CC5A4">
      <w:start w:val="1"/>
      <w:numFmt w:val="decimal"/>
      <w:lvlText w:val="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6C9E2">
      <w:start w:val="1"/>
      <w:numFmt w:val="decimal"/>
      <w:lvlText w:val="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45880">
      <w:start w:val="1"/>
      <w:numFmt w:val="decimal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CA29A8">
      <w:start w:val="1"/>
      <w:numFmt w:val="decimal"/>
      <w:lvlText w:val="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10ED0A">
      <w:start w:val="1"/>
      <w:numFmt w:val="decimal"/>
      <w:lvlText w:val="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976577"/>
    <w:multiLevelType w:val="hybridMultilevel"/>
    <w:tmpl w:val="80CA512A"/>
    <w:numStyleLink w:val="ImportedStyle10"/>
  </w:abstractNum>
  <w:abstractNum w:abstractNumId="2" w15:restartNumberingAfterBreak="0">
    <w:nsid w:val="245F16D5"/>
    <w:multiLevelType w:val="hybridMultilevel"/>
    <w:tmpl w:val="E42A9DFC"/>
    <w:numStyleLink w:val="ImportedStyle1"/>
  </w:abstractNum>
  <w:abstractNum w:abstractNumId="3" w15:restartNumberingAfterBreak="0">
    <w:nsid w:val="5EF70358"/>
    <w:multiLevelType w:val="hybridMultilevel"/>
    <w:tmpl w:val="08005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A63B1"/>
    <w:multiLevelType w:val="hybridMultilevel"/>
    <w:tmpl w:val="80CA512A"/>
    <w:styleLink w:val="ImportedStyle10"/>
    <w:lvl w:ilvl="0" w:tplc="1EE0E95E">
      <w:start w:val="1"/>
      <w:numFmt w:val="bullet"/>
      <w:lvlText w:val="●"/>
      <w:lvlJc w:val="left"/>
      <w:pPr>
        <w:ind w:left="226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6FDD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65F9C">
      <w:start w:val="1"/>
      <w:numFmt w:val="bullet"/>
      <w:lvlText w:val="⑥"/>
      <w:lvlJc w:val="left"/>
      <w:pPr>
        <w:ind w:left="104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469B8">
      <w:start w:val="1"/>
      <w:numFmt w:val="bullet"/>
      <w:lvlText w:val="−"/>
      <w:lvlJc w:val="left"/>
      <w:pPr>
        <w:ind w:left="140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25B1C">
      <w:start w:val="1"/>
      <w:numFmt w:val="bullet"/>
      <w:lvlText w:val="−"/>
      <w:lvlJc w:val="left"/>
      <w:pPr>
        <w:ind w:left="176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2CA06">
      <w:start w:val="1"/>
      <w:numFmt w:val="bullet"/>
      <w:lvlText w:val="−"/>
      <w:lvlJc w:val="left"/>
      <w:pPr>
        <w:ind w:left="212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0B492">
      <w:start w:val="1"/>
      <w:numFmt w:val="bullet"/>
      <w:lvlText w:val="−"/>
      <w:lvlJc w:val="left"/>
      <w:pPr>
        <w:ind w:left="24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A05A0">
      <w:start w:val="1"/>
      <w:numFmt w:val="bullet"/>
      <w:lvlText w:val="−"/>
      <w:lvlJc w:val="left"/>
      <w:pPr>
        <w:ind w:left="284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8FBC2">
      <w:start w:val="1"/>
      <w:numFmt w:val="bullet"/>
      <w:lvlText w:val="−"/>
      <w:lvlJc w:val="left"/>
      <w:pPr>
        <w:ind w:left="320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 w:tplc="0A022AEC">
        <w:start w:val="1"/>
        <w:numFmt w:val="bullet"/>
        <w:lvlText w:val="●"/>
        <w:lvlJc w:val="left"/>
        <w:pPr>
          <w:ind w:left="22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F6EDD8">
        <w:start w:val="1"/>
        <w:numFmt w:val="bullet"/>
        <w:lvlText w:val="●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5667D0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6E840">
        <w:start w:val="1"/>
        <w:numFmt w:val="bullet"/>
        <w:lvlText w:val="−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6E2554">
        <w:start w:val="1"/>
        <w:numFmt w:val="bullet"/>
        <w:lvlText w:val="−"/>
        <w:lvlJc w:val="left"/>
        <w:pPr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3C8B22">
        <w:start w:val="1"/>
        <w:numFmt w:val="bullet"/>
        <w:lvlText w:val="−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C0F380">
        <w:start w:val="1"/>
        <w:numFmt w:val="bullet"/>
        <w:lvlText w:val="−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0C1266">
        <w:start w:val="1"/>
        <w:numFmt w:val="bullet"/>
        <w:lvlText w:val="−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123A9C">
        <w:start w:val="1"/>
        <w:numFmt w:val="bullet"/>
        <w:lvlText w:val="−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"/>
    <w:lvlOverride w:ilvl="0">
      <w:lvl w:ilvl="0" w:tplc="0A022AEC">
        <w:start w:val="1"/>
        <w:numFmt w:val="bullet"/>
        <w:lvlText w:val="●"/>
        <w:lvlJc w:val="left"/>
        <w:pPr>
          <w:ind w:left="22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F6EDD8">
        <w:start w:val="1"/>
        <w:numFmt w:val="bullet"/>
        <w:lvlText w:val="●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5667D0">
        <w:start w:val="1"/>
        <w:numFmt w:val="bullet"/>
        <w:lvlText w:val="⑥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06E840">
        <w:start w:val="1"/>
        <w:numFmt w:val="bullet"/>
        <w:lvlText w:val="−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56E2554">
        <w:start w:val="1"/>
        <w:numFmt w:val="bullet"/>
        <w:lvlText w:val="−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3C8B22">
        <w:start w:val="1"/>
        <w:numFmt w:val="bullet"/>
        <w:lvlText w:val="−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5C0F380">
        <w:start w:val="1"/>
        <w:numFmt w:val="bullet"/>
        <w:lvlText w:val="−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60C1266">
        <w:start w:val="1"/>
        <w:numFmt w:val="bullet"/>
        <w:lvlText w:val="−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123A9C">
        <w:start w:val="1"/>
        <w:numFmt w:val="bullet"/>
        <w:lvlText w:val="−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5"/>
    <w:rsid w:val="00007378"/>
    <w:rsid w:val="0001522B"/>
    <w:rsid w:val="00152D33"/>
    <w:rsid w:val="001B47A0"/>
    <w:rsid w:val="00224B94"/>
    <w:rsid w:val="00355E1C"/>
    <w:rsid w:val="00383060"/>
    <w:rsid w:val="003A7433"/>
    <w:rsid w:val="00427FF0"/>
    <w:rsid w:val="00440A60"/>
    <w:rsid w:val="004859BD"/>
    <w:rsid w:val="004D339B"/>
    <w:rsid w:val="005A6EA5"/>
    <w:rsid w:val="00614436"/>
    <w:rsid w:val="007A27E3"/>
    <w:rsid w:val="00855F7A"/>
    <w:rsid w:val="008F62F5"/>
    <w:rsid w:val="009160DA"/>
    <w:rsid w:val="00921EAA"/>
    <w:rsid w:val="009841A3"/>
    <w:rsid w:val="00B3093D"/>
    <w:rsid w:val="00C45A4E"/>
    <w:rsid w:val="00D153C9"/>
    <w:rsid w:val="00D16EE4"/>
    <w:rsid w:val="00F179E2"/>
    <w:rsid w:val="00F572C5"/>
    <w:rsid w:val="00FA1CA4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2324C"/>
  <w15:chartTrackingRefBased/>
  <w15:docId w15:val="{EFE4220D-BDAB-49F5-A02A-200D2357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2F5"/>
    <w:pPr>
      <w:spacing w:after="0" w:line="240" w:lineRule="auto"/>
    </w:pPr>
  </w:style>
  <w:style w:type="paragraph" w:customStyle="1" w:styleId="BodyA">
    <w:name w:val="Body A"/>
    <w:rsid w:val="008F62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8F62F5"/>
    <w:pPr>
      <w:numPr>
        <w:numId w:val="1"/>
      </w:numPr>
    </w:pPr>
  </w:style>
  <w:style w:type="numbering" w:customStyle="1" w:styleId="ImportedStyle10">
    <w:name w:val="Imported Style 1.0"/>
    <w:rsid w:val="008F62F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D33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3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A4"/>
  </w:style>
  <w:style w:type="paragraph" w:styleId="Footer">
    <w:name w:val="footer"/>
    <w:basedOn w:val="Normal"/>
    <w:link w:val="FooterChar"/>
    <w:uiPriority w:val="99"/>
    <w:unhideWhenUsed/>
    <w:rsid w:val="00FA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hared%20drives\Catechesis\Ann\Flashdrive%201.12.22\Eucharistic%20Revival\Congress%20July%202024\8%20week%20study\diolc.org\eucharist\parishion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file:///E:\Shared%20drives\Catechesis\Ann\Flashdrive%201.12.22\Eucharistic%20Revival\Congress%20July%202024\8%20week%20study\diolc.org\eucharist\parishion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Ruff</dc:creator>
  <cp:keywords/>
  <dc:description/>
  <cp:lastModifiedBy>Ann Lankford</cp:lastModifiedBy>
  <cp:revision>7</cp:revision>
  <dcterms:created xsi:type="dcterms:W3CDTF">2024-09-04T16:33:00Z</dcterms:created>
  <dcterms:modified xsi:type="dcterms:W3CDTF">2024-09-16T19:39:00Z</dcterms:modified>
</cp:coreProperties>
</file>